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58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bdr w:val="none" w:color="auto" w:sz="0" w:space="0"/>
          <w:shd w:val="clear" w:fill="FFFFFF"/>
        </w:rPr>
      </w:pPr>
      <w:r>
        <w:rPr>
          <w:rFonts w:hint="eastAsia" w:ascii="黑体" w:hAnsi="宋体" w:eastAsia="黑体" w:cs="黑体"/>
          <w:b w:val="0"/>
          <w:bCs w:val="0"/>
          <w:kern w:val="44"/>
          <w:sz w:val="32"/>
          <w:szCs w:val="32"/>
          <w:bdr w:val="none" w:color="auto" w:sz="0" w:space="0"/>
          <w:shd w:val="clear" w:fill="FFFFFF"/>
          <w:lang w:val="en-US" w:eastAsia="zh-CN" w:bidi="ar"/>
        </w:rPr>
        <w:t>案例一</w:t>
      </w:r>
    </w:p>
    <w:p w14:paraId="0FBAE7C5">
      <w:pPr>
        <w:keepNext w:val="0"/>
        <w:keepLines w:val="0"/>
        <w:widowControl/>
        <w:suppressLineNumbers w:val="0"/>
        <w:spacing w:before="0" w:beforeAutospacing="0" w:after="0" w:afterAutospacing="0"/>
        <w:ind w:left="0" w:right="0"/>
        <w:jc w:val="left"/>
        <w:rPr>
          <w:rFonts w:hint="default" w:ascii="方正小标宋简体" w:hAnsi="方正小标宋简体" w:eastAsia="方正小标宋简体" w:cs="方正小标宋简体"/>
          <w:b w:val="0"/>
          <w:bCs w:val="0"/>
          <w:i w:val="0"/>
          <w:iCs w:val="0"/>
          <w:caps w:val="0"/>
          <w:spacing w:val="0"/>
          <w:kern w:val="44"/>
          <w:sz w:val="44"/>
          <w:szCs w:val="44"/>
          <w:shd w:val="clear" w:fill="FFFFFF"/>
        </w:rPr>
      </w:pPr>
      <w:r>
        <w:rPr>
          <w:rFonts w:hint="default" w:ascii="方正小标宋简体" w:hAnsi="方正小标宋简体" w:eastAsia="方正小标宋简体" w:cs="方正小标宋简体"/>
          <w:b w:val="0"/>
          <w:bCs w:val="0"/>
          <w:i w:val="0"/>
          <w:iCs w:val="0"/>
          <w:caps w:val="0"/>
          <w:spacing w:val="0"/>
          <w:kern w:val="44"/>
          <w:sz w:val="44"/>
          <w:szCs w:val="44"/>
          <w:shd w:val="clear" w:fill="FFFFFF"/>
          <w:lang w:val="en-US" w:eastAsia="zh-CN" w:bidi="ar"/>
        </w:rPr>
        <w:t>高校领域违反中央八项规定精神典型案例（</w:t>
      </w:r>
      <w:r>
        <w:rPr>
          <w:rFonts w:hint="eastAsia" w:ascii="方正小标宋简体" w:hAnsi="方正小标宋简体" w:eastAsia="方正小标宋简体" w:cs="方正小标宋简体"/>
          <w:b w:val="0"/>
          <w:bCs w:val="0"/>
          <w:i w:val="0"/>
          <w:iCs w:val="0"/>
          <w:caps w:val="0"/>
          <w:spacing w:val="0"/>
          <w:kern w:val="44"/>
          <w:sz w:val="44"/>
          <w:szCs w:val="44"/>
          <w:shd w:val="clear" w:fill="FFFFFF"/>
          <w:lang w:val="en-US" w:eastAsia="zh-CN" w:bidi="ar"/>
        </w:rPr>
        <w:t>五</w:t>
      </w:r>
      <w:r>
        <w:rPr>
          <w:rFonts w:hint="default" w:ascii="方正小标宋简体" w:hAnsi="方正小标宋简体" w:eastAsia="方正小标宋简体" w:cs="方正小标宋简体"/>
          <w:b w:val="0"/>
          <w:bCs w:val="0"/>
          <w:i w:val="0"/>
          <w:iCs w:val="0"/>
          <w:caps w:val="0"/>
          <w:spacing w:val="0"/>
          <w:kern w:val="44"/>
          <w:sz w:val="44"/>
          <w:szCs w:val="44"/>
          <w:shd w:val="clear" w:fill="FFFFFF"/>
          <w:lang w:val="en-US" w:eastAsia="zh-CN" w:bidi="ar"/>
        </w:rPr>
        <w:t>）</w:t>
      </w:r>
    </w:p>
    <w:p w14:paraId="3717820D">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420" w:firstLineChars="2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【典型案例】</w:t>
      </w:r>
    </w:p>
    <w:p w14:paraId="34DF8298">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阜阳师范大学党委原书记刘某某被开除党籍。2023年9月26日，安徽纪检监察网发布消息，对阜阳师范大学党委原书记刘某某严重违纪违法问题进行了立案审查调查。经查，刘某某身为长期主政一方的党员领导干部，背弃初心使命，丧失理想信念，忘本变质、不知敬畏，在组织谈话时不如实说明问题，对抗组织审查；无视中央八项规定精神，违规收受礼品、礼金，违规接受他人宴请；亲情扭曲、家风不正，对亲属失管失教；利欲熏心，甘于被“围猎”，以服务企业之名行权钱交易之实，非法收受他人巨额财物。刘某某严重违反党的政治纪律、组织纪律、廉洁纪律、生活纪律，构成严重职务违法并涉嫌受贿犯罪，且在党的十八大后不收敛、不收手，性质严重、影响恶劣，应予严肃处理。依据《中国共产党纪律处分条例》《中华人民共和国监察法》《中华人民共和国公职人员政务处分法》等有关规定，经安徽省纪委常委会会议研究并报安徽省委批准，决定给予刘某某开除党籍处分；按规定取消其享受的待遇；收缴其违纪违法所得；将其涉嫌犯罪问题移送检察机关依法审查起诉，所涉财物一并移送。</w:t>
      </w:r>
    </w:p>
    <w:p w14:paraId="3B994612">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3" w:firstLineChars="200"/>
        <w:jc w:val="left"/>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相关纪法条款：</w:t>
      </w:r>
    </w:p>
    <w:p w14:paraId="71C537FA">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3" w:firstLineChars="200"/>
        <w:jc w:val="left"/>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《中国共产党纪律处分条例（2018年）》</w:t>
      </w:r>
    </w:p>
    <w:p w14:paraId="2910CB77">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第六十三条对抗组织审查，有下列行为之一的，给予警告或者严重警告处分；情节较重的，给予撤销党内职务或者留党察看处分；情节严重的，给予开除党籍处分：</w:t>
      </w:r>
    </w:p>
    <w:p w14:paraId="7725F222">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（一）串供或者伪造、销毁、转移、隐匿证据；</w:t>
      </w:r>
    </w:p>
    <w:p w14:paraId="2F7DCBCC">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（二）阻止他人揭发检举、提供证据材料；</w:t>
      </w:r>
    </w:p>
    <w:p w14:paraId="079FC44F">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（三）包庇同案人员；</w:t>
      </w:r>
    </w:p>
    <w:p w14:paraId="44CC1136">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（四）向组织提供虚假情况，掩盖事实；</w:t>
      </w:r>
    </w:p>
    <w:p w14:paraId="41519FDC">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（五）其他对抗组织审查行为。</w:t>
      </w:r>
    </w:p>
    <w:p w14:paraId="54D541D9">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第九十七条收受可能影响公正执行公务的礼品、礼金、消费卡（券）和有价证券、股权、其他金融产品等财物，情节严重的，给予开除党籍处分。</w:t>
      </w:r>
    </w:p>
    <w:p w14:paraId="09E17361">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第一百零一条接受、提供可能影响公正执行公务的宴请或者旅游、健身、娱乐等活动安排，情节较重的，给予警告或者严重警告处分；情节严重的，给予撤销党内职务或者留党察看处分。</w:t>
      </w:r>
    </w:p>
    <w:p w14:paraId="7EEF43BD">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第一百五十二条党员领导干部不重视家风建设，对配偶、子女及其配偶失管失教，造成不良影响或者严重后果的，给予警告或者严重警告处分；情节严重的，给予撤销党内职务处分。</w:t>
      </w:r>
    </w:p>
    <w:p w14:paraId="6CD9DA7A">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3" w:firstLineChars="200"/>
        <w:jc w:val="left"/>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《中华人民共和国公职人员政务处分法》</w:t>
      </w:r>
    </w:p>
    <w:p w14:paraId="5FBDA12C">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第三十三条 有下列行为之一的，予以警告、记过或者记大过；情节较重的，予以降级或者撤职；情节严重的，予以开除：</w:t>
      </w:r>
    </w:p>
    <w:p w14:paraId="48D6A159">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（一）贪污贿赂的；</w:t>
      </w:r>
    </w:p>
    <w:p w14:paraId="1EBFBD51">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（二）利用职权或者职务上的影响为本人或者他人谋取私利的；</w:t>
      </w:r>
    </w:p>
    <w:p w14:paraId="061099AD">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第三十四条 收受可能影响公正行使公权力的礼品、礼金、有价证券等财物的，予以警告、记过或者记大过；情节较重的，予以降级或者撤职；情节严重的，予以开除。</w:t>
      </w:r>
    </w:p>
    <w:p w14:paraId="51982C37"/>
    <w:p w14:paraId="4A43D501"/>
    <w:p w14:paraId="7306D556"/>
    <w:p w14:paraId="14CB53B0"/>
    <w:p w14:paraId="416C646F"/>
    <w:p w14:paraId="48B8BD2A"/>
    <w:p w14:paraId="544FC825"/>
    <w:p w14:paraId="5E47FCD7"/>
    <w:p w14:paraId="36D5216C"/>
    <w:p w14:paraId="5484D1E9"/>
    <w:p w14:paraId="2C0827B1"/>
    <w:p w14:paraId="5CB0B0FE"/>
    <w:p w14:paraId="1114C7FF"/>
    <w:p w14:paraId="078828B4"/>
    <w:p w14:paraId="57C46E1A"/>
    <w:p w14:paraId="7C109D80"/>
    <w:p w14:paraId="299F6B49"/>
    <w:p w14:paraId="01D1ED54"/>
    <w:p w14:paraId="7F4AAE99"/>
    <w:p w14:paraId="3E70CB40"/>
    <w:p w14:paraId="5C19DD3D"/>
    <w:p w14:paraId="323D4284"/>
    <w:p w14:paraId="507D3462"/>
    <w:p w14:paraId="6F407CFF"/>
    <w:p w14:paraId="24B97E84"/>
    <w:p w14:paraId="488B11C1"/>
    <w:p w14:paraId="498BCBBF"/>
    <w:p w14:paraId="01388C21"/>
    <w:p w14:paraId="7FE527E1"/>
    <w:p w14:paraId="297A91DB"/>
    <w:p w14:paraId="1AA31CA0"/>
    <w:p w14:paraId="63BCC548"/>
    <w:p w14:paraId="304B92CF"/>
    <w:p w14:paraId="77D31395"/>
    <w:p w14:paraId="24482115"/>
    <w:p w14:paraId="49A8CA81"/>
    <w:p w14:paraId="116D3A49"/>
    <w:p w14:paraId="438FE319"/>
    <w:p w14:paraId="33361E0D"/>
    <w:p w14:paraId="62B27E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bdr w:val="none" w:color="auto" w:sz="0" w:space="0"/>
          <w:shd w:val="clear" w:fill="FFFFFF"/>
        </w:rPr>
      </w:pPr>
      <w:r>
        <w:rPr>
          <w:rFonts w:hint="eastAsia" w:ascii="黑体" w:hAnsi="宋体" w:eastAsia="黑体" w:cs="黑体"/>
          <w:b w:val="0"/>
          <w:bCs w:val="0"/>
          <w:kern w:val="44"/>
          <w:sz w:val="32"/>
          <w:szCs w:val="32"/>
          <w:bdr w:val="none" w:color="auto" w:sz="0" w:space="0"/>
          <w:shd w:val="clear" w:fill="FFFFFF"/>
          <w:lang w:val="en-US" w:eastAsia="zh-CN" w:bidi="ar"/>
        </w:rPr>
        <w:t>案例二</w:t>
      </w:r>
    </w:p>
    <w:p w14:paraId="14452B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方正小标宋简体" w:hAnsi="方正小标宋简体" w:eastAsia="方正小标宋简体" w:cs="方正小标宋简体"/>
          <w:b w:val="0"/>
          <w:bCs w:val="0"/>
          <w:i w:val="0"/>
          <w:iCs w:val="0"/>
          <w:caps w:val="0"/>
          <w:spacing w:val="0"/>
          <w:kern w:val="44"/>
          <w:sz w:val="44"/>
          <w:szCs w:val="44"/>
          <w:bdr w:val="none" w:color="auto" w:sz="0" w:space="0"/>
          <w:shd w:val="clear" w:fill="FFFFFF"/>
        </w:rPr>
      </w:pPr>
      <w:r>
        <w:rPr>
          <w:rFonts w:hint="default" w:ascii="方正小标宋简体" w:hAnsi="方正小标宋简体" w:eastAsia="方正小标宋简体" w:cs="方正小标宋简体"/>
          <w:b w:val="0"/>
          <w:bCs w:val="0"/>
          <w:i w:val="0"/>
          <w:iCs w:val="0"/>
          <w:caps w:val="0"/>
          <w:spacing w:val="0"/>
          <w:kern w:val="44"/>
          <w:sz w:val="44"/>
          <w:szCs w:val="44"/>
          <w:bdr w:val="none" w:color="auto" w:sz="0" w:space="0"/>
          <w:shd w:val="clear" w:fill="FFFFFF"/>
        </w:rPr>
        <w:t>大国</w:t>
      </w:r>
      <w:r>
        <w:rPr>
          <w:rFonts w:hint="default" w:ascii="方正小标宋简体" w:hAnsi="方正小标宋简体" w:eastAsia="方正小标宋简体" w:cs="方正小标宋简体"/>
          <w:b w:val="0"/>
          <w:bCs w:val="0"/>
          <w:i w:val="0"/>
          <w:iCs w:val="0"/>
          <w:caps w:val="0"/>
          <w:spacing w:val="0"/>
          <w:kern w:val="44"/>
          <w:sz w:val="44"/>
          <w:szCs w:val="44"/>
          <w:shd w:val="clear" w:fill="FFFFFF"/>
        </w:rPr>
        <w:t>工匠</w:t>
      </w:r>
      <w:r>
        <w:rPr>
          <w:rFonts w:hint="eastAsia" w:ascii="方正小标宋简体" w:hAnsi="方正小标宋简体" w:eastAsia="方正小标宋简体" w:cs="方正小标宋简体"/>
          <w:b w:val="0"/>
          <w:bCs w:val="0"/>
          <w:i w:val="0"/>
          <w:iCs w:val="0"/>
          <w:caps w:val="0"/>
          <w:spacing w:val="0"/>
          <w:kern w:val="44"/>
          <w:sz w:val="44"/>
          <w:szCs w:val="44"/>
          <w:shd w:val="clear" w:fill="FFFFFF"/>
          <w:lang w:val="en-US" w:eastAsia="zh-CN"/>
        </w:rPr>
        <w:t>孙景南</w:t>
      </w:r>
      <w:r>
        <w:rPr>
          <w:rFonts w:hint="default" w:ascii="方正小标宋简体" w:hAnsi="方正小标宋简体" w:eastAsia="方正小标宋简体" w:cs="方正小标宋简体"/>
          <w:b w:val="0"/>
          <w:bCs w:val="0"/>
          <w:i w:val="0"/>
          <w:iCs w:val="0"/>
          <w:caps w:val="0"/>
          <w:spacing w:val="0"/>
          <w:kern w:val="44"/>
          <w:sz w:val="44"/>
          <w:szCs w:val="44"/>
          <w:bdr w:val="none" w:color="auto" w:sz="0" w:space="0"/>
          <w:shd w:val="clear" w:fill="FFFFFF"/>
        </w:rPr>
        <w:t>——</w:t>
      </w:r>
      <w:r>
        <w:rPr>
          <w:rFonts w:hint="eastAsia" w:ascii="方正小标宋简体" w:hAnsi="方正小标宋简体" w:eastAsia="方正小标宋简体" w:cs="方正小标宋简体"/>
          <w:b w:val="0"/>
          <w:bCs w:val="0"/>
          <w:i w:val="0"/>
          <w:iCs w:val="0"/>
          <w:caps w:val="0"/>
          <w:spacing w:val="0"/>
          <w:kern w:val="44"/>
          <w:sz w:val="44"/>
          <w:szCs w:val="44"/>
          <w:shd w:val="clear" w:fill="FFFFFF"/>
        </w:rPr>
        <w:t>绿皮车→复兴号 她“斤斤计较”焊出中国交通新速度</w:t>
      </w:r>
    </w:p>
    <w:p w14:paraId="05FDDDD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DCAC5B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 xml:space="preserve">孙景南是中国中车南京浦镇车辆有限公司电焊特级技师，从业30余年，从普通焊工成长为国际焊接专家，见证并推动了中国轨道交通从“绿皮车”到“复兴号”高铁的技术跨越。 </w:t>
      </w:r>
    </w:p>
    <w:p w14:paraId="398C728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极致追求：焊缝里的“斤斤计较”</w:t>
      </w:r>
    </w:p>
    <w:p w14:paraId="1E44D0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 xml:space="preserve">高铁车厢与转向架连接处的一条10厘米焊缝，需承受上百吨牵拉力，直接关系列车安全。孙景南通过严格射线检测确保焊缝质量，其团队成果达铝合金焊接最高标准。她坚信“工匠精神”是对专业极致的执着——19岁入行后苦练平焊、横焊、立焊等技艺，在技能竞赛中屡获佳绩，为后续突破奠定基础。  </w:t>
      </w:r>
    </w:p>
    <w:p w14:paraId="61A6DF0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攻克“娇贵”难题：铝合金焊接突围</w:t>
      </w:r>
    </w:p>
    <w:p w14:paraId="4C988F3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 xml:space="preserve">铝合金车体可减重降耗，但熔点仅600℃，焊接易产生气孔、裂纹，属行业难题。孙景南形容其“娇贵”，需精准控制环境、温度等变量。早年公司派她赴海外学习时，外方因性别偏见拒绝女焊工，她却以扎实功底主动挑战高难度考试，以完美焊缝赢得国际认可。凭借自学工程力学、材料学等知识，她半年内考取18项欧标焊接资质及国际焊接技师证书，成为国内首批铝合金焊接专家。  </w:t>
      </w:r>
    </w:p>
    <w:p w14:paraId="3883B04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传承与创新：从“手艺人”到“智造者”</w:t>
      </w:r>
    </w:p>
    <w:p w14:paraId="6B5839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 xml:space="preserve">孙景南培养600余名焊工，并推动焊接智能化转型。她主导引入焊接机器人，通过数字化产线实现双丝焊接、多姿态翻转，效率倍增。她强调：“智能技术释放人力，让工匠专注创新。”从手执焊枪到指挥机械臂，她将技艺注入智能制造，助力中国高铁走向世界。  </w:t>
      </w:r>
    </w:p>
    <w:p w14:paraId="234B9E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val="0"/>
          <w:kern w:val="44"/>
          <w:sz w:val="32"/>
          <w:szCs w:val="32"/>
          <w:lang w:val="en-US" w:eastAsia="zh-CN" w:bidi="ar"/>
        </w:rPr>
      </w:pPr>
      <w:bookmarkStart w:id="0" w:name="_GoBack"/>
      <w:bookmarkEnd w:id="0"/>
      <w:r>
        <w:rPr>
          <w:rFonts w:hint="eastAsia" w:ascii="仿宋" w:hAnsi="仿宋" w:eastAsia="仿宋" w:cs="仿宋"/>
          <w:b w:val="0"/>
          <w:bCs w:val="0"/>
          <w:kern w:val="44"/>
          <w:sz w:val="32"/>
          <w:szCs w:val="32"/>
          <w:lang w:val="en-US" w:eastAsia="zh-CN" w:bidi="ar"/>
        </w:rPr>
        <w:t>孙景南以匠心跨越技术壁垒，用焊花点亮中国智造，诠释了“工匠”二字的分量——既是对技艺的敬畏，更是对创新的永恒追求。</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22473"/>
    <w:rsid w:val="4D64660C"/>
    <w:rsid w:val="6BBD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6">
    <w:name w:val="Strong"/>
    <w:basedOn w:val="5"/>
    <w:qFormat/>
    <w:uiPriority w:val="0"/>
    <w:rPr>
      <w:b/>
    </w:rPr>
  </w:style>
  <w:style w:type="character" w:customStyle="1" w:styleId="7">
    <w:name w:val="15"/>
    <w:basedOn w:val="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2025-04-26T01:45:18Z</dcterms:created>
  <dc:creator>Administrator</dc:creator>
  <cp:lastModifiedBy>小虾米</cp:lastModifiedBy>
  <dcterms:modified xsi:type="dcterms:W3CDTF">2025-04-26T01:56:51Z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eyJoZGlkIjoiYjQzOTA3ZWY2NGRhOTQwMDJkYzk4MWFjMTA2M2Q1NzUiLCJ1c2VySWQiOiI0NjEzNDA2MzgifQ==</vt:lpwstr>
  </property>
  <property fmtid="{D5CDD505-2E9C-101B-9397-08002B2CF9AE}" pid="4" name="ICV">
    <vt:lpwstr>5CCC354902974156B80DEBAA55A39629_12</vt:lpwstr>
  </property>
</Properties>
</file>